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w:t>
      </w:r>
      <w:r>
        <w:rPr>
          <w:rFonts w:hint="eastAsia" w:ascii="Arial" w:hAnsi="Arial" w:cs="Arial"/>
          <w:b/>
          <w:sz w:val="24"/>
          <w:szCs w:val="24"/>
        </w:rPr>
        <w:t xml:space="preserve">                              R4-2412724</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宋体" w:cs="Arial"/>
          <w:b/>
          <w:sz w:val="24"/>
          <w:szCs w:val="24"/>
          <w:lang w:eastAsia="zh-CN"/>
        </w:rPr>
        <w:t xml:space="preserve">Maastricht , NL, </w:t>
      </w:r>
      <w:r>
        <w:rPr>
          <w:rFonts w:hint="eastAsia" w:ascii="Arial" w:hAnsi="Arial" w:cs="Arial"/>
          <w:b/>
          <w:sz w:val="24"/>
          <w:szCs w:val="24"/>
          <w:lang w:val="en-US" w:eastAsia="zh-CN"/>
        </w:rPr>
        <w:t>19</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2</w:t>
      </w:r>
      <w:r>
        <w:rPr>
          <w:rFonts w:hint="eastAsia" w:ascii="Arial" w:hAnsi="Arial" w:cs="Arial"/>
          <w:b/>
          <w:sz w:val="24"/>
          <w:szCs w:val="24"/>
          <w:lang w:val="en-US" w:eastAsia="zh-CN"/>
        </w:rPr>
        <w:t>3</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Aug,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8.19.2.3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eastAsia="宋体"/>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0"/>
      <w:bookmarkStart w:id="2" w:name="OLE_LINK14"/>
      <w:bookmarkStart w:id="3" w:name="OLE_LINK20"/>
      <w:bookmarkStart w:id="4" w:name="OLE_LINK13"/>
      <w:r>
        <w:rPr>
          <w:rFonts w:hint="eastAsia" w:eastAsia="Times New Roman"/>
        </w:rPr>
        <w:t xml:space="preserve"> </w:t>
      </w:r>
    </w:p>
    <w:bookmarkEnd w:id="1"/>
    <w:bookmarkEnd w:id="2"/>
    <w:bookmarkEnd w:id="3"/>
    <w:bookmarkEnd w:id="4"/>
    <w:p>
      <w:pPr>
        <w:pStyle w:val="36"/>
        <w:spacing w:after="120" w:line="260" w:lineRule="auto"/>
        <w:ind w:firstLine="0" w:firstLineChars="0"/>
        <w:outlineLvl w:val="1"/>
        <w:rPr>
          <w:rFonts w:ascii="Arial" w:hAnsi="Arial" w:cs="Arial"/>
          <w:sz w:val="28"/>
          <w:szCs w:val="28"/>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p>
    <w:p>
      <w:pPr>
        <w:pStyle w:val="36"/>
        <w:spacing w:after="120" w:line="260" w:lineRule="auto"/>
        <w:ind w:firstLine="0" w:firstLineChars="0"/>
        <w:outlineLvl w:val="2"/>
        <w:rPr>
          <w:color w:val="auto"/>
          <w:sz w:val="20"/>
          <w:szCs w:val="20"/>
        </w:rPr>
      </w:pPr>
      <w:r>
        <w:rPr>
          <w:rFonts w:hint="eastAsia"/>
          <w:sz w:val="20"/>
          <w:szCs w:val="20"/>
        </w:rPr>
        <w:t>2.</w:t>
      </w:r>
      <w:r>
        <w:rPr>
          <w:rFonts w:hint="eastAsia"/>
          <w:sz w:val="20"/>
          <w:szCs w:val="20"/>
          <w:lang w:val="en-US" w:eastAsia="zh-CN"/>
        </w:rPr>
        <w:t>1</w:t>
      </w:r>
      <w:r>
        <w:rPr>
          <w:rFonts w:hint="eastAsia"/>
          <w:sz w:val="20"/>
          <w:szCs w:val="20"/>
        </w:rPr>
        <w:t>.1. Reference sensitivity level</w:t>
      </w:r>
    </w:p>
    <w:p>
      <w:pPr>
        <w:pStyle w:val="36"/>
        <w:spacing w:after="120"/>
        <w:ind w:firstLine="0" w:firstLineChars="0"/>
        <w:rPr>
          <w:rFonts w:hint="default" w:ascii="Times New Roman" w:hAnsi="Times New Roman" w:eastAsia="宋体" w:cs="Times New Roman"/>
          <w:color w:val="auto"/>
          <w:sz w:val="20"/>
          <w:szCs w:val="20"/>
          <w:lang w:val="en-US" w:eastAsia="zh-CN"/>
        </w:rPr>
      </w:pPr>
      <w:r>
        <w:rPr>
          <w:rFonts w:hint="eastAsia" w:eastAsia="宋体" w:cs="Times New Roman"/>
          <w:color w:val="auto"/>
          <w:sz w:val="20"/>
          <w:szCs w:val="20"/>
          <w:lang w:val="en-US" w:eastAsia="zh-CN"/>
        </w:rPr>
        <w:t>During the SI phase, we reached the following consensus how to define the REFSENS requirement for SBFD receiver especially from the degradation from its self interference. From our understanding, 1.0dB performance degradation is acceptable for us considering the feasibility study captured in TR 38.858 and also coexistence assumptions agreed in the SI phase, if degradation is reduced from 1.0dB to 0.5dB which means the required RSIC capability will increased 3dB which would go against with some vendor</w:t>
      </w:r>
      <w:r>
        <w:rPr>
          <w:rFonts w:hint="default" w:eastAsia="宋体" w:cs="Times New Roman"/>
          <w:color w:val="auto"/>
          <w:sz w:val="20"/>
          <w:szCs w:val="20"/>
          <w:lang w:val="en-US" w:eastAsia="zh-CN"/>
        </w:rPr>
        <w:t>’</w:t>
      </w:r>
      <w:r>
        <w:rPr>
          <w:rFonts w:hint="eastAsia" w:eastAsia="宋体" w:cs="Times New Roman"/>
          <w:color w:val="auto"/>
          <w:sz w:val="20"/>
          <w:szCs w:val="20"/>
          <w:lang w:val="en-US" w:eastAsia="zh-CN"/>
        </w:rPr>
        <w:t>s feasibility study. For the details, it could refer to the feasibility study in TR 38.858. Based on the above consideration, we propose to use 1.0dB degradation for SBFD BS REFSENS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rPr>
            </w:pPr>
            <w:r>
              <w:rPr>
                <w:rFonts w:hint="eastAsia"/>
              </w:rPr>
              <w:t>Regarding Reference sensitivity requirement for SBFD-capable BS, due to the self interference caused internally to receiver side,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For BS type 1-H if supported: The existing requirement for conducted reference sensitivity level shall also be applied to BS in SBFD symbols, i.e, no </w:t>
            </w:r>
            <w:r>
              <w:rPr>
                <w:rFonts w:hint="default"/>
              </w:rPr>
              <w:t xml:space="preserve">sensitivity </w:t>
            </w:r>
            <w:r>
              <w:rPr>
                <w:rFonts w:hint="eastAsia"/>
              </w:rPr>
              <w:t>degradation</w:t>
            </w:r>
            <w:r>
              <w:rPr>
                <w:rFonts w:hint="default"/>
              </w:rPr>
              <w:t xml:space="preserve"> is</w:t>
            </w:r>
            <w:r>
              <w:rPr>
                <w:rFonts w:hint="eastAsia"/>
              </w:rPr>
              <w:t xml:space="preserve"> allowed.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default"/>
              </w:rPr>
              <w:t xml:space="preserve">Otherwise, </w:t>
            </w:r>
            <w:r>
              <w:rPr>
                <w:rFonts w:hint="eastAsia"/>
              </w:rPr>
              <w:t>OTA sensitivity requirement could be derived based on the following equation:</w:t>
            </w:r>
          </w:p>
          <w:p>
            <w:pPr>
              <w:keepNext w:val="0"/>
              <w:keepLines w:val="0"/>
              <w:suppressLineNumbers w:val="0"/>
              <w:spacing w:before="0" w:beforeAutospacing="0" w:afterAutospacing="0" w:line="260" w:lineRule="auto"/>
              <w:ind w:left="420" w:leftChars="200" w:right="0"/>
              <w:rPr>
                <w:rFonts w:hint="default"/>
                <w:i/>
                <w:color w:val="4F81BD" w:themeColor="accent1"/>
                <w:sz w:val="20"/>
                <w:lang w:val="sv-SE"/>
                <w14:textFill>
                  <w14:solidFill>
                    <w14:schemeClr w14:val="accent1"/>
                  </w14:solidFill>
                </w14:textFill>
              </w:rPr>
            </w:pPr>
            <m:oMath>
              <m:func>
                <m:funcPr>
                  <m:ctrlPr>
                    <w:rPr>
                      <w:rFonts w:hint="default" w:ascii="Cambria Math" w:hAnsi="Cambria Math"/>
                      <w:szCs w:val="24"/>
                    </w:rPr>
                  </m:ctrlPr>
                </m:funcPr>
                <m:fName>
                  <m:sSub>
                    <m:sSubPr>
                      <m:ctrlPr>
                        <w:rPr>
                          <w:rFonts w:hint="default" w:ascii="Cambria Math" w:hAnsi="Cambria Math"/>
                          <w:szCs w:val="24"/>
                        </w:rPr>
                      </m:ctrlPr>
                    </m:sSubPr>
                    <m:e>
                      <m:r>
                        <m:rPr>
                          <m:sty m:val="p"/>
                        </m:rPr>
                        <w:rPr>
                          <w:rFonts w:hint="default" w:ascii="Cambria Math"/>
                          <w:szCs w:val="24"/>
                          <w:lang w:val="sv-SE"/>
                        </w:rPr>
                        <m:t>P</m:t>
                      </m:r>
                      <m:ctrlPr>
                        <w:rPr>
                          <w:rFonts w:hint="default" w:ascii="Cambria Math" w:hAnsi="Cambria Math"/>
                          <w:szCs w:val="24"/>
                        </w:rPr>
                      </m:ctrlPr>
                    </m:e>
                    <m:sub>
                      <m:r>
                        <m:rPr>
                          <m:sty m:val="p"/>
                        </m:rPr>
                        <w:rPr>
                          <w:rFonts w:hint="default" w:ascii="Cambria Math"/>
                          <w:szCs w:val="24"/>
                          <w:lang w:val="sv-SE"/>
                        </w:rPr>
                        <m:t>REFSENS</m:t>
                      </m:r>
                      <m:ctrlPr>
                        <w:rPr>
                          <w:rFonts w:hint="default" w:ascii="Cambria Math" w:hAnsi="Cambria Math"/>
                          <w:szCs w:val="24"/>
                        </w:rPr>
                      </m:ctrlPr>
                    </m:sub>
                  </m:sSub>
                  <m:d>
                    <m:dPr>
                      <m:ctrlPr>
                        <w:rPr>
                          <w:rFonts w:hint="default" w:ascii="Cambria Math" w:hAnsi="Cambria Math"/>
                          <w:szCs w:val="24"/>
                        </w:rPr>
                      </m:ctrlPr>
                    </m:dPr>
                    <m:e>
                      <m:r>
                        <m:rPr>
                          <m:sty m:val="p"/>
                        </m:rPr>
                        <w:rPr>
                          <w:rFonts w:hint="default" w:ascii="Cambria Math"/>
                          <w:szCs w:val="24"/>
                          <w:lang w:val="sv-SE"/>
                        </w:rPr>
                        <m:t>dBm</m:t>
                      </m:r>
                      <m:ctrlPr>
                        <w:rPr>
                          <w:rFonts w:hint="default" w:ascii="Cambria Math" w:hAnsi="Cambria Math"/>
                          <w:szCs w:val="24"/>
                        </w:rPr>
                      </m:ctrlPr>
                    </m:e>
                  </m:d>
                  <m:r>
                    <m:rPr>
                      <m:sty m:val="p"/>
                    </m:rPr>
                    <w:rPr>
                      <w:rFonts w:hint="default" w:ascii="Cambria Math"/>
                      <w:szCs w:val="24"/>
                      <w:lang w:val="sv-SE"/>
                    </w:rPr>
                    <m:t>=−174dBm+10×</m:t>
                  </m:r>
                  <m:ctrlPr>
                    <w:rPr>
                      <w:rFonts w:hint="default" w:ascii="Cambria Math" w:hAnsi="Cambria Math"/>
                      <w:szCs w:val="24"/>
                    </w:rPr>
                  </m:ctrlPr>
                </m:fName>
                <m:e>
                  <m:r>
                    <m:rPr>
                      <m:sty m:val="p"/>
                    </m:rPr>
                    <w:rPr>
                      <w:rFonts w:hint="default" w:ascii="Cambria Math"/>
                      <w:szCs w:val="24"/>
                      <w:lang w:val="sv-SE"/>
                    </w:rPr>
                    <m:t>log10</m:t>
                  </m:r>
                  <m:ctrlPr>
                    <w:rPr>
                      <w:rFonts w:hint="default" w:ascii="Cambria Math" w:hAnsi="Cambria Math"/>
                      <w:szCs w:val="24"/>
                    </w:rPr>
                  </m:ctrlPr>
                </m:e>
              </m:func>
              <m:r>
                <m:rPr>
                  <m:sty m:val="p"/>
                </m:rPr>
                <w:rPr>
                  <w:rFonts w:hint="default" w:ascii="Cambria Math"/>
                  <w:szCs w:val="24"/>
                  <w:lang w:val="sv-SE"/>
                </w:rPr>
                <m:t>(BW)+</m:t>
              </m:r>
              <m:sSub>
                <m:sSubPr>
                  <m:ctrlPr>
                    <w:rPr>
                      <w:rFonts w:hint="default" w:ascii="Cambria Math" w:hAnsi="Cambria Math"/>
                      <w:szCs w:val="24"/>
                    </w:rPr>
                  </m:ctrlPr>
                </m:sSubPr>
                <m:e>
                  <m:r>
                    <m:rPr>
                      <m:sty m:val="p"/>
                    </m:rPr>
                    <w:rPr>
                      <w:rFonts w:hint="default" w:ascii="Cambria Math"/>
                      <w:szCs w:val="24"/>
                      <w:lang w:val="sv-SE"/>
                    </w:rPr>
                    <m:t>N</m:t>
                  </m:r>
                  <m:ctrlPr>
                    <w:rPr>
                      <w:rFonts w:hint="default" w:ascii="Cambria Math" w:hAnsi="Cambria Math"/>
                      <w:szCs w:val="24"/>
                    </w:rPr>
                  </m:ctrlPr>
                </m:e>
                <m:sub>
                  <m:r>
                    <m:rPr>
                      <m:sty m:val="p"/>
                    </m:rPr>
                    <w:rPr>
                      <w:rFonts w:hint="default" w:ascii="Cambria Math"/>
                      <w:szCs w:val="24"/>
                      <w:lang w:val="sv-SE"/>
                    </w:rPr>
                    <m:t>F</m:t>
                  </m:r>
                  <m:ctrlPr>
                    <w:rPr>
                      <w:rFonts w:hint="default" w:ascii="Cambria Math" w:hAnsi="Cambria Math"/>
                      <w:szCs w:val="24"/>
                    </w:rPr>
                  </m:ctrlPr>
                </m:sub>
              </m:sSub>
              <m:r>
                <m:rPr>
                  <m:sty m:val="p"/>
                </m:rPr>
                <w:rPr>
                  <w:rFonts w:hint="default" w:ascii="Cambria Math"/>
                  <w:szCs w:val="24"/>
                  <w:lang w:val="sv-SE"/>
                </w:rPr>
                <m:t>+</m:t>
              </m:r>
              <m:sSub>
                <m:sSubPr>
                  <m:ctrlPr>
                    <w:rPr>
                      <w:rFonts w:hint="default" w:ascii="Cambria Math" w:hAnsi="Cambria Math"/>
                      <w:szCs w:val="24"/>
                    </w:rPr>
                  </m:ctrlPr>
                </m:sSubPr>
                <m:e>
                  <m:r>
                    <m:rPr>
                      <m:sty m:val="p"/>
                    </m:rPr>
                    <w:rPr>
                      <w:rFonts w:hint="default" w:ascii="Cambria Math"/>
                      <w:szCs w:val="24"/>
                      <w:lang w:val="sv-SE"/>
                    </w:rPr>
                    <m:t>I</m:t>
                  </m:r>
                  <m:ctrlPr>
                    <w:rPr>
                      <w:rFonts w:hint="default" w:ascii="Cambria Math" w:hAnsi="Cambria Math"/>
                      <w:szCs w:val="24"/>
                    </w:rPr>
                  </m:ctrlPr>
                </m:e>
                <m:sub>
                  <m:r>
                    <m:rPr>
                      <m:sty m:val="p"/>
                    </m:rPr>
                    <w:rPr>
                      <w:rFonts w:hint="default" w:ascii="Cambria Math"/>
                      <w:szCs w:val="24"/>
                      <w:lang w:val="sv-SE"/>
                    </w:rPr>
                    <m:t>M</m:t>
                  </m:r>
                  <m:ctrlPr>
                    <w:rPr>
                      <w:rFonts w:hint="default" w:ascii="Cambria Math" w:hAnsi="Cambria Math"/>
                      <w:szCs w:val="24"/>
                    </w:rPr>
                  </m:ctrlPr>
                </m:sub>
              </m:sSub>
              <m:r>
                <m:rPr>
                  <m:sty m:val="p"/>
                </m:rPr>
                <w:rPr>
                  <w:rFonts w:hint="default" w:ascii="Cambria Math"/>
                  <w:szCs w:val="24"/>
                  <w:lang w:val="sv-SE"/>
                </w:rPr>
                <m:t>+SNR+[ desens target]</m:t>
              </m:r>
            </m:oMath>
            <w:r>
              <w:rPr>
                <w:rFonts w:hint="eastAsia" w:ascii="Cambria Math"/>
                <w:i/>
                <w:szCs w:val="24"/>
                <w:lang w:val="sv-SE"/>
              </w:rPr>
              <w:t>-G</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 xml:space="preserve">The </w:t>
            </w:r>
            <w:r>
              <w:rPr>
                <w:rFonts w:hint="eastAsia"/>
              </w:rPr>
              <w:t>candidate value [0.5~1.0]dB degradation and final value will be specified in the WI phase.</w:t>
            </w:r>
          </w:p>
          <w:p>
            <w:pPr>
              <w:keepNext w:val="0"/>
              <w:keepLines w:val="0"/>
              <w:numPr>
                <w:ilvl w:val="2"/>
                <w:numId w:val="3"/>
              </w:numPr>
              <w:suppressLineNumbers w:val="0"/>
              <w:spacing w:before="0" w:beforeAutospacing="0" w:afterAutospacing="0" w:line="260" w:lineRule="auto"/>
              <w:ind w:left="420" w:right="0" w:hanging="360"/>
              <w:rPr>
                <w:rFonts w:hint="default"/>
              </w:rPr>
            </w:pPr>
            <w:r>
              <w:rPr>
                <w:rFonts w:hint="default"/>
              </w:rPr>
              <w:t>The following aspects need more discussion during a WI phase</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The declaration of maximum TRP for the requirement of OTA sensitivity within SBFD time slot</w:t>
            </w:r>
          </w:p>
          <w:p>
            <w:pPr>
              <w:pStyle w:val="36"/>
              <w:keepNext w:val="0"/>
              <w:keepLines w:val="0"/>
              <w:numPr>
                <w:ilvl w:val="2"/>
                <w:numId w:val="3"/>
              </w:numPr>
              <w:suppressLineNumbers w:val="0"/>
              <w:spacing w:before="0" w:beforeAutospacing="0" w:afterAutospacing="0" w:line="260" w:lineRule="auto"/>
              <w:ind w:left="680" w:right="0" w:firstLine="420"/>
              <w:rPr>
                <w:rFonts w:hint="default"/>
                <w:vertAlign w:val="baseline"/>
              </w:rPr>
            </w:pPr>
            <w:r>
              <w:rPr>
                <w:rFonts w:hint="default"/>
              </w:rPr>
              <w:t>If OTA sensitivity should be defined considering all of the scenarios including self-interference, inter-site interference and inter-sector interference.</w:t>
            </w:r>
          </w:p>
        </w:tc>
      </w:tr>
    </w:tbl>
    <w:p>
      <w:pPr>
        <w:pStyle w:val="36"/>
        <w:spacing w:after="120"/>
        <w:ind w:firstLine="0" w:firstLineChars="0"/>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lang w:val="en-US" w:eastAsia="zh-CN"/>
        </w:rPr>
        <w:t xml:space="preserve">agree with 1.0dB degradation for SBFD BS REFSENS requirements; </w:t>
      </w:r>
    </w:p>
    <w:p>
      <w:pPr>
        <w:pStyle w:val="36"/>
        <w:spacing w:after="120" w:line="260" w:lineRule="auto"/>
        <w:ind w:firstLine="0" w:firstLineChars="0"/>
        <w:outlineLvl w:val="2"/>
        <w:rPr>
          <w:rFonts w:hint="default" w:eastAsia="宋体"/>
          <w:color w:val="auto"/>
          <w:sz w:val="20"/>
          <w:szCs w:val="20"/>
          <w:lang w:val="en-US" w:eastAsia="zh-CN"/>
        </w:rPr>
      </w:pPr>
      <w:r>
        <w:rPr>
          <w:rFonts w:hint="eastAsia"/>
          <w:sz w:val="20"/>
          <w:szCs w:val="20"/>
        </w:rPr>
        <w:t>2.</w:t>
      </w:r>
      <w:r>
        <w:rPr>
          <w:rFonts w:hint="eastAsia"/>
          <w:sz w:val="20"/>
          <w:szCs w:val="20"/>
          <w:lang w:val="en-US" w:eastAsia="zh-CN"/>
        </w:rPr>
        <w:t>1</w:t>
      </w:r>
      <w:r>
        <w:rPr>
          <w:rFonts w:hint="eastAsia"/>
          <w:sz w:val="20"/>
          <w:szCs w:val="20"/>
        </w:rPr>
        <w:t>.</w:t>
      </w:r>
      <w:r>
        <w:rPr>
          <w:rFonts w:hint="eastAsia"/>
          <w:sz w:val="20"/>
          <w:szCs w:val="20"/>
          <w:lang w:val="en-US" w:eastAsia="zh-CN"/>
        </w:rPr>
        <w:t>2</w:t>
      </w:r>
      <w:r>
        <w:rPr>
          <w:rFonts w:hint="eastAsia"/>
          <w:sz w:val="20"/>
          <w:szCs w:val="20"/>
        </w:rPr>
        <w:t xml:space="preserve">. </w:t>
      </w:r>
      <w:r>
        <w:rPr>
          <w:rFonts w:hint="eastAsia"/>
          <w:sz w:val="20"/>
          <w:szCs w:val="20"/>
          <w:lang w:val="en-US" w:eastAsia="zh-CN"/>
        </w:rPr>
        <w:t>Dynamic range requirements</w:t>
      </w:r>
    </w:p>
    <w:p>
      <w:pPr>
        <w:pStyle w:val="36"/>
        <w:spacing w:after="120"/>
        <w:ind w:firstLine="0" w:firstLineChars="0"/>
        <w:rPr>
          <w:rFonts w:hint="default"/>
          <w:lang w:val="en-US"/>
        </w:rPr>
      </w:pPr>
      <w:r>
        <w:rPr>
          <w:rFonts w:hint="eastAsia" w:eastAsia="宋体" w:cs="Times New Roman"/>
          <w:color w:val="auto"/>
          <w:sz w:val="20"/>
          <w:szCs w:val="20"/>
          <w:lang w:val="en-US" w:eastAsia="zh-CN"/>
        </w:rPr>
        <w:t xml:space="preserve">During the SI phase, we reached the consensus on receiver dynamic range requirement for SBFD BS. Compared with the IoT level defined for the legacy BS dynamic range requirements, we need to consider the BS2BS CLI additionally for SBFD since the IoT level of SBFD receiver should be contributed by both uplink signals and BS2BS CLI signals.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vertAlign w:val="baseline"/>
              </w:rPr>
            </w:pPr>
            <w:r>
              <w:rPr>
                <w:rFonts w:hint="eastAsia"/>
              </w:rPr>
              <w:t xml:space="preserve">Regarding the dynamic range requirement, this requirement is still applicable for SBFD-capable BS. The IoT level and wanted signal power level could be further discussed in the WI phase. </w:t>
            </w:r>
          </w:p>
        </w:tc>
      </w:tr>
    </w:tbl>
    <w:p>
      <w:pPr>
        <w:pStyle w:val="36"/>
        <w:spacing w:after="120"/>
        <w:ind w:firstLine="0" w:firstLineChars="0"/>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2</w:t>
      </w:r>
      <w:r>
        <w:rPr>
          <w:rFonts w:hint="eastAsia" w:eastAsia="宋体"/>
          <w:b/>
          <w:bCs/>
          <w:sz w:val="20"/>
          <w:szCs w:val="20"/>
          <w:lang w:val="en-US" w:eastAsia="zh-CN"/>
        </w:rPr>
        <w:t xml:space="preserve">: </w:t>
      </w:r>
      <w:r>
        <w:rPr>
          <w:rFonts w:hint="eastAsia" w:eastAsia="宋体"/>
          <w:lang w:val="en-US" w:eastAsia="zh-CN"/>
        </w:rPr>
        <w:t>for receiver dynamic requirement, both uplink signals and BS2BS2 CLI signal should be considered for IoT levels.</w:t>
      </w:r>
    </w:p>
    <w:p>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3</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szCs w:val="24"/>
              </w:rPr>
            </w:pPr>
            <w:r>
              <w:rPr>
                <w:rFonts w:hint="eastAsia" w:eastAsia="等线" w:cs="Arial"/>
              </w:rPr>
              <w:t xml:space="preserve">Regarding the receiver intermodulation requirement, in general, </w:t>
            </w:r>
            <w:r>
              <w:rPr>
                <w:rFonts w:hint="default"/>
                <w:szCs w:val="24"/>
              </w:rPr>
              <w:t>RX intermodulation requirement and the interference levels shall be determined by RAN4 co-existence study, and for the definition of RX intermodulation requirement</w:t>
            </w:r>
            <w:r>
              <w:rPr>
                <w:rFonts w:hint="eastAsia"/>
                <w:szCs w:val="24"/>
              </w:rPr>
              <w:t xml:space="preserv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Conducted RX intermodulation: </w:t>
            </w:r>
            <w:r>
              <w:rPr>
                <w:rFonts w:hint="default"/>
              </w:rPr>
              <w:t>Adopt</w:t>
            </w:r>
            <w:r>
              <w:rPr>
                <w:rFonts w:hint="eastAsia"/>
              </w:rPr>
              <w:t xml:space="preserve"> the existing wanted signal of RX intermodulation requirement by using the existing reference sensitivity level.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eastAsia"/>
                <w:sz w:val="20"/>
                <w:szCs w:val="20"/>
                <w:vertAlign w:val="baseline"/>
              </w:rPr>
            </w:pPr>
            <w:r>
              <w:rPr>
                <w:rFonts w:hint="eastAsia"/>
              </w:rPr>
              <w:t>OTA RX intermodulation: The OTA sensitivity degradation shall be taken into account to determine the level of wanted signal and interference signal mean power.</w:t>
            </w:r>
          </w:p>
        </w:tc>
      </w:tr>
    </w:tbl>
    <w:p>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7"/>
                    <a:stretch>
                      <a:fillRect/>
                    </a:stretch>
                  </pic:blipFill>
                  <pic:spPr>
                    <a:xfrm>
                      <a:off x="0" y="0"/>
                      <a:ext cx="6188075" cy="1915795"/>
                    </a:xfrm>
                    <a:prstGeom prst="rect">
                      <a:avLst/>
                    </a:prstGeom>
                    <a:noFill/>
                    <a:ln>
                      <a:noFill/>
                    </a:ln>
                  </pic:spPr>
                </pic:pic>
              </a:graphicData>
            </a:graphic>
          </wp:inline>
        </w:drawing>
      </w:r>
    </w:p>
    <w:p>
      <w:pPr>
        <w:pStyle w:val="36"/>
        <w:numPr>
          <w:ilvl w:val="255"/>
          <w:numId w:val="0"/>
        </w:numPr>
        <w:spacing w:after="0" w:line="240" w:lineRule="auto"/>
        <w:jc w:val="center"/>
        <w:rPr>
          <w:rFonts w:hint="eastAsia"/>
        </w:rPr>
      </w:pPr>
      <w:r>
        <w:rPr>
          <w:rFonts w:hint="eastAsia"/>
        </w:rPr>
        <w:t>Figure 2.2.</w:t>
      </w:r>
      <w:r>
        <w:rPr>
          <w:rFonts w:hint="eastAsia"/>
          <w:lang w:val="en-US" w:eastAsia="zh-CN"/>
        </w:rPr>
        <w:t>3</w:t>
      </w:r>
      <w:r>
        <w:rPr>
          <w:rFonts w:hint="eastAsia"/>
        </w:rPr>
        <w:t>-1: Example of Rx intermodulation requirement for SBFD BS</w:t>
      </w:r>
    </w:p>
    <w:p>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3: </w:t>
      </w:r>
      <w:r>
        <w:rPr>
          <w:rFonts w:hint="eastAsia"/>
          <w:b w:val="0"/>
          <w:bCs w:val="0"/>
          <w:sz w:val="20"/>
          <w:szCs w:val="20"/>
          <w:lang w:val="en-US" w:eastAsia="zh-CN"/>
        </w:rPr>
        <w:t>for the receiver intermodulation requirements, BS2BS CLI should be taken into account for power level for interference signal.</w:t>
      </w:r>
    </w:p>
    <w:p>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4:</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4</w:t>
      </w:r>
      <w:r>
        <w:rPr>
          <w:rFonts w:hint="eastAsia"/>
        </w:rPr>
        <w:t>.</w:t>
      </w:r>
      <w:r>
        <w:rPr>
          <w:rFonts w:hint="eastAsia"/>
          <w:lang w:val="en-US" w:eastAsia="zh-CN"/>
        </w:rPr>
        <w:t xml:space="preserve"> IBB requirements</w:t>
      </w:r>
      <w:r>
        <w:rPr>
          <w:rFonts w:hint="eastAsia"/>
        </w:rPr>
        <w:t xml:space="preserve"> </w:t>
      </w:r>
    </w:p>
    <w:p>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239770" cy="2430145"/>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 xml:space="preserve">Figure 2.1.4-1. the evaluation results for Scenario 1 </w:t>
      </w:r>
    </w:p>
    <w:p>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 xml:space="preserve">Figure 2.1.4-2. the evaluation results for Scenario 3 </w:t>
      </w:r>
    </w:p>
    <w:p>
      <w:pPr>
        <w:jc w:val="left"/>
        <w:rPr>
          <w:rFonts w:hint="eastAsia"/>
          <w:lang w:val="en-US" w:eastAsia="zh-CN"/>
        </w:rPr>
      </w:pPr>
      <w:r>
        <w:rPr>
          <w:rFonts w:hint="eastAsia"/>
          <w:lang w:val="en-US" w:eastAsia="zh-CN"/>
        </w:rPr>
        <w:t xml:space="preserve">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 </w:t>
      </w:r>
    </w:p>
    <w:p>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-1.5067</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3.4934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vertAlign w:val="baseline"/>
                <w:lang w:val="en-US" w:eastAsia="zh-CN" w:bidi="ar-SA"/>
              </w:rPr>
            </w:pPr>
            <w:r>
              <w:rPr>
                <w:rFonts w:hint="eastAsia"/>
                <w:vertAlign w:val="baseline"/>
                <w:lang w:val="en-US" w:eastAsia="zh-CN"/>
              </w:rPr>
              <w:t>TBD</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pPr>
        <w:pStyle w:val="36"/>
        <w:numPr>
          <w:ilvl w:val="0"/>
          <w:numId w:val="0"/>
        </w:numPr>
        <w:spacing w:after="120" w:line="240" w:lineRule="auto"/>
        <w:ind w:firstLine="0" w:firstLineChars="0"/>
        <w:jc w:val="left"/>
      </w:pP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2.1.4-3a. the evaluation results for Scenario 6</w:t>
      </w:r>
    </w:p>
    <w:p>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2.1.4-3b. the evaluation results for Scenario 6</w:t>
      </w:r>
    </w:p>
    <w:p>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2.1.4-4a. the evaluation results for Scenario 9</w:t>
      </w:r>
    </w:p>
    <w:p>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2.1.4-4b. the evaluation results for Scenario 9</w:t>
      </w:r>
    </w:p>
    <w:p>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p>
      <w:pPr>
        <w:pStyle w:val="36"/>
        <w:numPr>
          <w:ilvl w:val="0"/>
          <w:numId w:val="0"/>
        </w:numPr>
        <w:spacing w:after="120" w:line="240" w:lineRule="auto"/>
        <w:ind w:firstLine="0" w:firstLineChars="0"/>
        <w:jc w:val="left"/>
      </w:pPr>
      <w:r>
        <w:rPr>
          <w:rFonts w:hint="eastAsia"/>
          <w:b/>
          <w:bCs/>
          <w:lang w:val="en-US" w:eastAsia="zh-CN"/>
        </w:rPr>
        <w:t>Observation 3:</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Conclusions</w:t>
      </w:r>
    </w:p>
    <w:p>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initial views on RF requirements for SBFD BS</w:t>
      </w:r>
      <w:r>
        <w:rPr>
          <w:rFonts w:hint="eastAsia" w:cs="Times New Roman"/>
          <w:sz w:val="20"/>
          <w:szCs w:val="20"/>
          <w:lang w:val="en-US" w:eastAsia="zh-CN"/>
        </w:rPr>
        <w:t xml:space="preserve"> and proposals/observations are made as following:</w:t>
      </w:r>
    </w:p>
    <w:p>
      <w:pPr>
        <w:pStyle w:val="36"/>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sz w:val="20"/>
          <w:szCs w:val="20"/>
        </w:rPr>
      </w:pPr>
      <w:r>
        <w:rPr>
          <w:rFonts w:hint="eastAsia"/>
          <w:b/>
          <w:bCs/>
          <w:sz w:val="20"/>
          <w:szCs w:val="20"/>
          <w:lang w:val="en-US" w:eastAsia="zh-CN"/>
        </w:rPr>
        <w:t>Proposal 1</w:t>
      </w:r>
      <w:r>
        <w:rPr>
          <w:rFonts w:hint="eastAsia"/>
          <w:sz w:val="20"/>
          <w:szCs w:val="20"/>
          <w:lang w:val="en-US" w:eastAsia="zh-CN"/>
        </w:rPr>
        <w:t xml:space="preserve">: for SBFD BS co-location related requirements, propose to follow the existing CLTA assumption captured in TS 38.141-2. </w:t>
      </w:r>
    </w:p>
    <w:p>
      <w:pPr>
        <w:pStyle w:val="36"/>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sz w:val="20"/>
          <w:szCs w:val="20"/>
          <w:lang w:val="en-US" w:eastAsia="zh-CN"/>
        </w:rPr>
      </w:pPr>
      <w:r>
        <w:rPr>
          <w:rFonts w:hint="eastAsia"/>
          <w:b/>
          <w:bCs/>
          <w:sz w:val="20"/>
          <w:szCs w:val="20"/>
          <w:lang w:val="en-US" w:eastAsia="zh-CN"/>
        </w:rPr>
        <w:t>Proposal 2:</w:t>
      </w:r>
      <w:r>
        <w:rPr>
          <w:rFonts w:hint="eastAsia"/>
          <w:b w:val="0"/>
          <w:bCs w:val="0"/>
          <w:sz w:val="20"/>
          <w:szCs w:val="20"/>
          <w:lang w:val="en-US" w:eastAsia="zh-CN"/>
        </w:rPr>
        <w:t xml:space="preserve"> for Tx intermodulation requirement, it</w:t>
      </w:r>
      <w:r>
        <w:rPr>
          <w:rFonts w:hint="default"/>
          <w:b w:val="0"/>
          <w:bCs w:val="0"/>
          <w:sz w:val="20"/>
          <w:szCs w:val="20"/>
          <w:lang w:val="en-US" w:eastAsia="zh-CN"/>
        </w:rPr>
        <w:t>’</w:t>
      </w:r>
      <w:r>
        <w:rPr>
          <w:rFonts w:hint="eastAsia"/>
          <w:b w:val="0"/>
          <w:bCs w:val="0"/>
          <w:sz w:val="20"/>
          <w:szCs w:val="20"/>
          <w:lang w:val="en-US" w:eastAsia="zh-CN"/>
        </w:rPr>
        <w:t>s also up to vendor</w:t>
      </w:r>
      <w:r>
        <w:rPr>
          <w:rFonts w:hint="default"/>
          <w:b w:val="0"/>
          <w:bCs w:val="0"/>
          <w:sz w:val="20"/>
          <w:szCs w:val="20"/>
          <w:lang w:val="en-US" w:eastAsia="zh-CN"/>
        </w:rPr>
        <w:t>’</w:t>
      </w:r>
      <w:r>
        <w:rPr>
          <w:rFonts w:hint="eastAsia"/>
          <w:b w:val="0"/>
          <w:bCs w:val="0"/>
          <w:sz w:val="20"/>
          <w:szCs w:val="20"/>
          <w:lang w:val="en-US" w:eastAsia="zh-CN"/>
        </w:rPr>
        <w:t xml:space="preserve">s declaration. If BS claim to comply with Tx intermodulation requirement, then ACLR, UEM ,spurious emission and </w:t>
      </w:r>
      <w:r>
        <w:rPr>
          <w:rFonts w:hint="eastAsia"/>
          <w:sz w:val="20"/>
          <w:szCs w:val="20"/>
          <w:lang w:val="en-US" w:eastAsia="zh-CN"/>
        </w:rPr>
        <w:t xml:space="preserve">Rx sensitivity degradation should be declared together. </w:t>
      </w:r>
    </w:p>
    <w:p>
      <w:pPr>
        <w:pStyle w:val="36"/>
        <w:spacing w:after="120"/>
        <w:ind w:firstLine="0" w:firstLineChars="0"/>
        <w:rPr>
          <w:rFonts w:hint="eastAsia"/>
          <w:sz w:val="20"/>
          <w:szCs w:val="20"/>
          <w:lang w:val="en-US" w:eastAsia="zh-CN"/>
        </w:rPr>
      </w:pPr>
      <w:r>
        <w:rPr>
          <w:rFonts w:hint="eastAsia"/>
          <w:b/>
          <w:bCs/>
          <w:sz w:val="20"/>
          <w:szCs w:val="20"/>
          <w:lang w:val="en-US" w:eastAsia="zh-CN"/>
        </w:rPr>
        <w:t>Proposal 3:</w:t>
      </w:r>
      <w:r>
        <w:rPr>
          <w:rFonts w:hint="eastAsia"/>
          <w:b w:val="0"/>
          <w:bCs w:val="0"/>
          <w:sz w:val="20"/>
          <w:szCs w:val="20"/>
          <w:lang w:val="en-US" w:eastAsia="zh-CN"/>
        </w:rPr>
        <w:t xml:space="preserve"> PSD scaling between non-SBFD slots and SBFD slots is up to the implementation. </w:t>
      </w:r>
    </w:p>
    <w:p>
      <w:pPr>
        <w:pStyle w:val="36"/>
        <w:keepNext w:val="0"/>
        <w:keepLines w:val="0"/>
        <w:pageBreakBefore w:val="0"/>
        <w:widowControl w:val="0"/>
        <w:kinsoku/>
        <w:wordWrap/>
        <w:overflowPunct/>
        <w:topLinePunct w:val="0"/>
        <w:autoSpaceDE/>
        <w:autoSpaceDN/>
        <w:bidi w:val="0"/>
        <w:adjustRightInd/>
        <w:snapToGrid/>
        <w:spacing w:after="0" w:line="260" w:lineRule="auto"/>
        <w:ind w:firstLine="0" w:firstLineChars="0"/>
        <w:textAlignment w:val="auto"/>
        <w:rPr>
          <w:rFonts w:hint="eastAsia"/>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4</w:t>
      </w:r>
      <w:r>
        <w:rPr>
          <w:rFonts w:hint="eastAsia" w:eastAsia="宋体"/>
          <w:b/>
          <w:bCs/>
          <w:sz w:val="20"/>
          <w:szCs w:val="20"/>
          <w:lang w:val="en-US" w:eastAsia="zh-CN"/>
        </w:rPr>
        <w:t xml:space="preserve">: </w:t>
      </w:r>
      <w:r>
        <w:rPr>
          <w:rFonts w:hint="eastAsia"/>
          <w:lang w:val="en-US" w:eastAsia="zh-CN"/>
        </w:rPr>
        <w:t>agree with 1.0dB degradation for SBFD BS REFSENS requirements;</w:t>
      </w:r>
    </w:p>
    <w:p>
      <w:pPr>
        <w:pStyle w:val="36"/>
        <w:spacing w:after="120"/>
        <w:ind w:firstLine="0" w:firstLineChars="0"/>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5</w:t>
      </w:r>
      <w:r>
        <w:rPr>
          <w:rFonts w:hint="eastAsia" w:eastAsia="宋体"/>
          <w:b/>
          <w:bCs/>
          <w:sz w:val="20"/>
          <w:szCs w:val="20"/>
          <w:lang w:val="en-US" w:eastAsia="zh-CN"/>
        </w:rPr>
        <w:t xml:space="preserve">: </w:t>
      </w:r>
      <w:r>
        <w:rPr>
          <w:rFonts w:hint="eastAsia" w:eastAsia="宋体"/>
          <w:lang w:val="en-US" w:eastAsia="zh-CN"/>
        </w:rPr>
        <w:t>for receiver dynamic requirement, both uplink signals and BS2BS2 CLI signal should be considered for IoT levels.</w:t>
      </w:r>
    </w:p>
    <w:p>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6: </w:t>
      </w:r>
      <w:r>
        <w:rPr>
          <w:rFonts w:hint="eastAsia"/>
          <w:b w:val="0"/>
          <w:bCs w:val="0"/>
          <w:sz w:val="20"/>
          <w:szCs w:val="20"/>
          <w:lang w:val="en-US" w:eastAsia="zh-CN"/>
        </w:rPr>
        <w:t>for the receiver intermodulation requirements, BS2BS CLI should be taken into account for power level for interference signal.</w:t>
      </w:r>
    </w:p>
    <w:p>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7:</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2.1.3-1.</w:t>
      </w: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lang w:val="en-US" w:eastAsia="zh-CN"/>
        </w:rPr>
        <w:t>Observation 3:</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References</w:t>
      </w:r>
    </w:p>
    <w:p>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1">
    <w:nsid w:val="41702979"/>
    <w:multiLevelType w:val="singleLevel"/>
    <w:tmpl w:val="41702979"/>
    <w:lvl w:ilvl="0" w:tentative="0">
      <w:start w:val="1"/>
      <w:numFmt w:val="decimal"/>
      <w:lvlText w:val="[%1]"/>
      <w:lvlJc w:val="left"/>
      <w:pPr>
        <w:tabs>
          <w:tab w:val="left" w:pos="312"/>
        </w:tabs>
      </w:p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3">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264F"/>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717521"/>
    <w:rsid w:val="0B8307A0"/>
    <w:rsid w:val="0B831B4A"/>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0F4EE8"/>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76F77"/>
    <w:rsid w:val="19DC3901"/>
    <w:rsid w:val="19DE7440"/>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87022"/>
    <w:rsid w:val="263E0775"/>
    <w:rsid w:val="2640682F"/>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52233"/>
    <w:rsid w:val="33B70359"/>
    <w:rsid w:val="33BA1B32"/>
    <w:rsid w:val="33BF7141"/>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85BDF"/>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D039A1"/>
    <w:rsid w:val="3BD16A31"/>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A668E"/>
    <w:rsid w:val="50915F48"/>
    <w:rsid w:val="509A3231"/>
    <w:rsid w:val="509C736A"/>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C2007"/>
    <w:rsid w:val="541F38E3"/>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95860"/>
    <w:rsid w:val="595C0946"/>
    <w:rsid w:val="59604A5E"/>
    <w:rsid w:val="59642A7A"/>
    <w:rsid w:val="59655357"/>
    <w:rsid w:val="596957AE"/>
    <w:rsid w:val="596D32B4"/>
    <w:rsid w:val="596E3CF3"/>
    <w:rsid w:val="596F5485"/>
    <w:rsid w:val="5974082A"/>
    <w:rsid w:val="59774D3E"/>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E5C0E"/>
    <w:rsid w:val="6BF229CE"/>
    <w:rsid w:val="6BF25C39"/>
    <w:rsid w:val="6C06150E"/>
    <w:rsid w:val="6C1407B4"/>
    <w:rsid w:val="6C150C0B"/>
    <w:rsid w:val="6C155F31"/>
    <w:rsid w:val="6C16461F"/>
    <w:rsid w:val="6C206E21"/>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70653"/>
    <w:rsid w:val="70385F59"/>
    <w:rsid w:val="70387A8F"/>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44D16"/>
    <w:rsid w:val="7A6656B6"/>
    <w:rsid w:val="7A665F09"/>
    <w:rsid w:val="7A6C3449"/>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72683"/>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7.emf"/><Relationship Id="rId12" Type="http://schemas.openxmlformats.org/officeDocument/2006/relationships/image" Target="media/image6.emf"/><Relationship Id="rId11" Type="http://schemas.openxmlformats.org/officeDocument/2006/relationships/image" Target="media/image5.emf"/><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1</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2024-08-09T13:20:26Z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